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04" w:rsidRPr="00832B04" w:rsidRDefault="00832B04" w:rsidP="00B472DD">
      <w:p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 w:rsidRPr="00832B04">
        <w:rPr>
          <w:b/>
          <w:sz w:val="28"/>
          <w:szCs w:val="28"/>
          <w:lang w:val="en-ZA"/>
        </w:rPr>
        <w:t>SESSION I</w:t>
      </w:r>
      <w:r w:rsidR="00065C16" w:rsidRPr="00832B04">
        <w:rPr>
          <w:b/>
          <w:i/>
          <w:szCs w:val="24"/>
          <w:lang w:val="en-ZA"/>
        </w:rPr>
        <w:t xml:space="preserve"> </w:t>
      </w:r>
    </w:p>
    <w:p w:rsidR="00065C16" w:rsidRDefault="00065C16" w:rsidP="00B472DD">
      <w:p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b/>
          <w:i/>
          <w:szCs w:val="24"/>
          <w:lang w:val="en-ZA"/>
        </w:rPr>
        <w:t>Using R</w:t>
      </w:r>
    </w:p>
    <w:p w:rsidR="00832B04" w:rsidRPr="00832B04" w:rsidRDefault="00832B04" w:rsidP="00832B04">
      <w:pPr>
        <w:pStyle w:val="ListParagraph"/>
        <w:numPr>
          <w:ilvl w:val="0"/>
          <w:numId w:val="13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Fortran.example()</w:t>
      </w:r>
    </w:p>
    <w:p w:rsidR="00B472DD" w:rsidRPr="00083547" w:rsidRDefault="00B472DD" w:rsidP="00B472DD">
      <w:p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 w:rsidRPr="00083547">
        <w:rPr>
          <w:b/>
          <w:i/>
          <w:szCs w:val="24"/>
          <w:lang w:val="en-ZA"/>
        </w:rPr>
        <w:t>Biplot basics</w:t>
      </w:r>
    </w:p>
    <w:p w:rsidR="00B472DD" w:rsidRDefault="00B472DD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What is approximated?</w:t>
      </w:r>
    </w:p>
    <w:p w:rsidR="00B472DD" w:rsidRDefault="00B472DD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Distances:  aspect ratio</w:t>
      </w:r>
      <w:r>
        <w:rPr>
          <w:szCs w:val="24"/>
          <w:lang w:val="en-ZA"/>
        </w:rPr>
        <w:br/>
        <w:t xml:space="preserve">                   rectangular graph window</w:t>
      </w:r>
      <w:r w:rsidR="00A517C8">
        <w:rPr>
          <w:szCs w:val="24"/>
          <w:lang w:val="en-ZA"/>
        </w:rPr>
        <w:br/>
        <w:t>Illustrate: Fig.2.1() and  Fig.2.1.asp()</w:t>
      </w:r>
    </w:p>
    <w:p w:rsidR="00A517C8" w:rsidRDefault="00A517C8" w:rsidP="00A517C8">
      <w:pPr>
        <w:pStyle w:val="ListParagraph"/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</w:p>
    <w:p w:rsidR="00B472DD" w:rsidRDefault="00B472DD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Biplot as multidimensional scatterplot</w:t>
      </w:r>
    </w:p>
    <w:p w:rsidR="00B472DD" w:rsidRDefault="00B472DD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SVD of </w:t>
      </w:r>
      <w:r w:rsidR="00A517C8">
        <w:rPr>
          <w:szCs w:val="24"/>
          <w:lang w:val="en-ZA"/>
        </w:rPr>
        <w:t xml:space="preserve"> e.g. </w:t>
      </w:r>
      <w:bookmarkStart w:id="0" w:name="_GoBack"/>
      <w:bookmarkEnd w:id="0"/>
      <w:r>
        <w:rPr>
          <w:szCs w:val="24"/>
          <w:lang w:val="en-ZA"/>
        </w:rPr>
        <w:t xml:space="preserve">data matrix </w:t>
      </w:r>
      <w:r w:rsidR="00A517C8">
        <w:rPr>
          <w:szCs w:val="24"/>
          <w:lang w:val="en-ZA"/>
        </w:rPr>
        <w:t xml:space="preserve"> </w:t>
      </w:r>
      <w:r>
        <w:rPr>
          <w:b/>
          <w:szCs w:val="24"/>
          <w:lang w:val="en-ZA"/>
        </w:rPr>
        <w:t>X</w:t>
      </w:r>
      <w:r w:rsidR="00A517C8">
        <w:rPr>
          <w:b/>
          <w:szCs w:val="24"/>
          <w:lang w:val="en-ZA"/>
        </w:rPr>
        <w:t xml:space="preserve"> = U</w:t>
      </w:r>
      <w:r w:rsidR="00A517C8" w:rsidRPr="00A517C8">
        <w:rPr>
          <w:b/>
          <w:szCs w:val="24"/>
          <w:lang w:val="en-ZA"/>
        </w:rPr>
        <w:sym w:font="Symbol" w:char="F053"/>
      </w:r>
      <w:r w:rsidR="00A517C8">
        <w:rPr>
          <w:b/>
          <w:szCs w:val="24"/>
          <w:lang w:val="en-ZA"/>
        </w:rPr>
        <w:t>V</w:t>
      </w:r>
      <w:r w:rsidR="00A517C8">
        <w:rPr>
          <w:b/>
          <w:szCs w:val="24"/>
          <w:lang w:val="en-ZA"/>
        </w:rPr>
        <w:sym w:font="Symbol" w:char="F0A2"/>
      </w:r>
    </w:p>
    <w:p w:rsidR="00B472DD" w:rsidRDefault="00B472DD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Display points and variables</w:t>
      </w:r>
    </w:p>
    <w:p w:rsidR="00B472DD" w:rsidRDefault="005A5373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Calibrating the axes: </w:t>
      </w:r>
      <w:r w:rsidR="00B472DD">
        <w:rPr>
          <w:szCs w:val="24"/>
          <w:lang w:val="en-ZA"/>
        </w:rPr>
        <w:t>Inner product</w:t>
      </w:r>
      <w:r>
        <w:rPr>
          <w:szCs w:val="24"/>
          <w:lang w:val="en-ZA"/>
        </w:rPr>
        <w:t xml:space="preserve"> interpretation</w:t>
      </w:r>
    </w:p>
    <w:p w:rsidR="00B472DD" w:rsidRDefault="005A5373" w:rsidP="00B472DD">
      <w:pPr>
        <w:pStyle w:val="ListParagraph"/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 w:rsidRPr="005A5373">
        <w:rPr>
          <w:noProof/>
          <w:lang w:val="en-ZA" w:eastAsia="en-ZA"/>
        </w:rPr>
        <w:drawing>
          <wp:inline distT="0" distB="0" distL="0" distR="0">
            <wp:extent cx="5295900" cy="4152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2DD" w:rsidRPr="00B055C1" w:rsidRDefault="00B472DD" w:rsidP="00B472DD">
      <w:pPr>
        <w:pStyle w:val="FigureCaption"/>
      </w:pPr>
      <w:r w:rsidRPr="0010686E">
        <w:t xml:space="preserve">The projection of  </w:t>
      </w:r>
      <w:r w:rsidRPr="0010686E">
        <w:rPr>
          <w:b/>
        </w:rPr>
        <w:t>a</w:t>
      </w:r>
      <w:r w:rsidRPr="0010686E">
        <w:rPr>
          <w:i/>
          <w:vertAlign w:val="subscript"/>
        </w:rPr>
        <w:t>i</w:t>
      </w:r>
      <w:r w:rsidRPr="0010686E">
        <w:t xml:space="preserve"> onto </w:t>
      </w:r>
      <w:r w:rsidRPr="0010686E">
        <w:rPr>
          <w:b/>
        </w:rPr>
        <w:t>b</w:t>
      </w:r>
      <w:r w:rsidRPr="0010686E">
        <w:rPr>
          <w:i/>
          <w:vertAlign w:val="subscript"/>
        </w:rPr>
        <w:t>k</w:t>
      </w:r>
      <w:r w:rsidRPr="0010686E">
        <w:t xml:space="preserve"> is λ</w:t>
      </w:r>
      <w:r w:rsidRPr="0010686E">
        <w:rPr>
          <w:b/>
        </w:rPr>
        <w:t>b</w:t>
      </w:r>
      <w:r w:rsidRPr="0010686E">
        <w:rPr>
          <w:i/>
          <w:vertAlign w:val="subscript"/>
        </w:rPr>
        <w:t>k</w:t>
      </w:r>
      <w:r w:rsidRPr="0010686E">
        <w:t xml:space="preserve">.  The inner product has the value </w:t>
      </w:r>
      <w:r w:rsidRPr="0010686E">
        <w:sym w:font="Symbol" w:char="F06D"/>
      </w:r>
      <w:r w:rsidRPr="0010686E">
        <w:t xml:space="preserve"> =  ||</w:t>
      </w:r>
      <w:r w:rsidRPr="0010686E">
        <w:rPr>
          <w:b/>
        </w:rPr>
        <w:t>a</w:t>
      </w:r>
      <w:r w:rsidRPr="0010686E">
        <w:rPr>
          <w:i/>
          <w:vertAlign w:val="subscript"/>
        </w:rPr>
        <w:t>i</w:t>
      </w:r>
      <w:r w:rsidRPr="0010686E">
        <w:t>||.||</w:t>
      </w:r>
      <w:r w:rsidRPr="0010686E">
        <w:rPr>
          <w:b/>
        </w:rPr>
        <w:t>b</w:t>
      </w:r>
      <w:r w:rsidRPr="0010686E">
        <w:rPr>
          <w:i/>
          <w:vertAlign w:val="subscript"/>
        </w:rPr>
        <w:t>k</w:t>
      </w:r>
      <w:r w:rsidRPr="0010686E">
        <w:t>||.</w:t>
      </w:r>
      <w:r w:rsidRPr="0010686E">
        <w:rPr>
          <w:i/>
        </w:rPr>
        <w:t>cosθ</w:t>
      </w:r>
      <w:r w:rsidRPr="0010686E">
        <w:rPr>
          <w:i/>
          <w:vertAlign w:val="subscript"/>
        </w:rPr>
        <w:t>ik</w:t>
      </w:r>
      <w:r w:rsidRPr="0010686E">
        <w:t xml:space="preserve"> which is constant for all points on the line of projection. The point λ</w:t>
      </w:r>
      <w:r w:rsidRPr="0010686E">
        <w:rPr>
          <w:b/>
        </w:rPr>
        <w:t>b</w:t>
      </w:r>
      <w:r w:rsidRPr="0010686E">
        <w:rPr>
          <w:i/>
          <w:vertAlign w:val="subscript"/>
        </w:rPr>
        <w:t>k</w:t>
      </w:r>
      <w:r w:rsidRPr="0010686E">
        <w:t xml:space="preserve"> may be given the calibration marker </w:t>
      </w:r>
      <w:r w:rsidRPr="00B77109">
        <w:rPr>
          <w:i/>
        </w:rPr>
        <w:sym w:font="Symbol" w:char="F06D"/>
      </w:r>
      <w:r w:rsidRPr="00B055C1">
        <w:t>.</w:t>
      </w:r>
    </w:p>
    <w:p w:rsidR="00B472DD" w:rsidRPr="005A5373" w:rsidRDefault="005A5373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Lambda-scaling:  </w:t>
      </w:r>
      <w:r w:rsidRPr="00F94309">
        <w:rPr>
          <w:b/>
          <w:position w:val="-10"/>
        </w:rPr>
        <w:object w:dxaOrig="1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6.2pt" o:ole="">
            <v:imagedata r:id="rId7" o:title=""/>
          </v:shape>
          <o:OLEObject Type="Embed" ProgID="Equation.3" ShapeID="_x0000_i1025" DrawAspect="Content" ObjectID="_1396760224" r:id="rId8"/>
        </w:object>
      </w:r>
      <w:r>
        <w:rPr>
          <w:b/>
        </w:rPr>
        <w:br/>
      </w:r>
      <w:r>
        <w:t xml:space="preserve">Choose </w:t>
      </w:r>
      <w:r>
        <w:sym w:font="Symbol" w:char="F06C"/>
      </w:r>
      <w:r>
        <w:t xml:space="preserve">:  </w:t>
      </w:r>
      <w:r w:rsidRPr="00B055C1">
        <w:t xml:space="preserve">average squared distance of the points in </w:t>
      </w:r>
      <w:r w:rsidRPr="00F94309">
        <w:rPr>
          <w:position w:val="-6"/>
        </w:rPr>
        <w:object w:dxaOrig="380" w:dyaOrig="279">
          <v:shape id="_x0000_i1026" type="#_x0000_t75" style="width:19.2pt;height:13.8pt" o:ole="">
            <v:imagedata r:id="rId9" o:title=""/>
          </v:shape>
          <o:OLEObject Type="Embed" ProgID="Equation.3" ShapeID="_x0000_i1026" DrawAspect="Content" ObjectID="_1396760225" r:id="rId10"/>
        </w:object>
      </w:r>
      <w:r w:rsidRPr="00B055C1">
        <w:rPr>
          <w:b/>
        </w:rPr>
        <w:t xml:space="preserve"> </w:t>
      </w:r>
      <w:r w:rsidRPr="00B055C1">
        <w:t>and</w:t>
      </w:r>
      <w:r>
        <w:t xml:space="preserve"> </w:t>
      </w:r>
      <w:r w:rsidRPr="00F94309">
        <w:rPr>
          <w:position w:val="-6"/>
        </w:rPr>
        <w:object w:dxaOrig="520" w:dyaOrig="279">
          <v:shape id="_x0000_i1027" type="#_x0000_t75" style="width:25.8pt;height:13.8pt" o:ole="">
            <v:imagedata r:id="rId11" o:title=""/>
          </v:shape>
          <o:OLEObject Type="Embed" ProgID="Equation.3" ShapeID="_x0000_i1027" DrawAspect="Content" ObjectID="_1396760226" r:id="rId12"/>
        </w:object>
      </w:r>
      <w:r w:rsidRPr="00B055C1">
        <w:t xml:space="preserve">  are the same</w:t>
      </w:r>
    </w:p>
    <w:p w:rsidR="005A5373" w:rsidRDefault="005A5373" w:rsidP="005A5373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Fig.2.5()</w:t>
      </w:r>
    </w:p>
    <w:p w:rsidR="005A5373" w:rsidRPr="005A5373" w:rsidRDefault="005A5373" w:rsidP="005A5373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t>Refining biplot display: Orthogonal parallel translation</w:t>
      </w:r>
    </w:p>
    <w:p w:rsidR="005A5373" w:rsidRDefault="005A5373" w:rsidP="005A5373">
      <w:pPr>
        <w:pStyle w:val="Figure"/>
      </w:pPr>
      <w:r w:rsidRPr="005A5373">
        <w:rPr>
          <w:noProof/>
          <w:lang w:val="en-ZA" w:eastAsia="en-ZA"/>
        </w:rPr>
        <w:lastRenderedPageBreak/>
        <w:drawing>
          <wp:inline distT="0" distB="0" distL="0" distR="0">
            <wp:extent cx="4991100" cy="42138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5A5373" w:rsidRDefault="005A5373" w:rsidP="005A5373">
      <w:pPr>
        <w:pStyle w:val="FigureCaption"/>
      </w:pPr>
      <w:r>
        <w:t xml:space="preserve">  </w:t>
      </w:r>
      <w:r w:rsidRPr="007D79DD">
        <w:tab/>
      </w:r>
      <w:r w:rsidRPr="005A5373">
        <w:rPr>
          <w:b/>
        </w:rPr>
        <w:t>Orthogonal parallel translation</w:t>
      </w:r>
      <w:r w:rsidRPr="007D79DD">
        <w:t xml:space="preserve">. The upper axis is scaled in the same way as the lower parallel axis </w:t>
      </w:r>
      <w:r>
        <w:br/>
      </w:r>
      <w:r w:rsidRPr="00BB4674">
        <w:t>and equal-valued scale-markers are on lines orthogonal to both axes. Projection onto either scale delivers the same result. Orthogonal axes through an origin O are shown as dotted lines; these are used solely for plotting purposes and would be deleted in any biplot. A point (a,</w:t>
      </w:r>
      <w:r>
        <w:t xml:space="preserve"> </w:t>
      </w:r>
      <w:r w:rsidRPr="00BB4674">
        <w:t>b) relative to these plotting axe</w:t>
      </w:r>
      <w:r>
        <w:t>s is shown.</w:t>
      </w:r>
    </w:p>
    <w:p w:rsidR="005A5373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Fig.2.12()</w:t>
      </w:r>
    </w:p>
    <w:p w:rsidR="00083547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Fig.2.13()</w:t>
      </w:r>
    </w:p>
    <w:p w:rsidR="00083547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Fig.2.14()</w:t>
      </w:r>
    </w:p>
    <w:p w:rsidR="00083547" w:rsidRPr="00083547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</w:pPr>
      <w:r w:rsidRPr="00083547">
        <w:rPr>
          <w:szCs w:val="24"/>
          <w:lang w:val="en-ZA"/>
        </w:rPr>
        <w:t>Fig.2.15()</w:t>
      </w:r>
    </w:p>
    <w:p w:rsidR="00083547" w:rsidRPr="00083547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</w:pPr>
      <w:r w:rsidRPr="00083547">
        <w:rPr>
          <w:szCs w:val="24"/>
          <w:lang w:val="en-ZA"/>
        </w:rPr>
        <w:t>Scaling the data:</w:t>
      </w:r>
      <w:r>
        <w:rPr>
          <w:szCs w:val="24"/>
          <w:lang w:val="en-ZA"/>
        </w:rPr>
        <w:t xml:space="preserve"> </w:t>
      </w:r>
      <w:r>
        <w:t>Fig.2.18() and Fig.2.19()</w:t>
      </w:r>
    </w:p>
    <w:p w:rsidR="00083547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</w:pPr>
      <w:r>
        <w:t>Interpolation and prediction</w:t>
      </w:r>
      <w:r w:rsidR="00A517C8">
        <w:br/>
        <w:t>Interpolation: Fig.2.22() and call  vectorsum.interp()</w:t>
      </w:r>
    </w:p>
    <w:p w:rsidR="00083547" w:rsidRDefault="00083547" w:rsidP="00B472DD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276" w:lineRule="auto"/>
      </w:pPr>
      <w:r>
        <w:t>Working with large datasets</w:t>
      </w:r>
    </w:p>
    <w:p w:rsidR="00083547" w:rsidRDefault="00083547" w:rsidP="00083547">
      <w:pPr>
        <w:pStyle w:val="ListParagraph"/>
        <w:numPr>
          <w:ilvl w:val="1"/>
          <w:numId w:val="10"/>
        </w:numPr>
        <w:tabs>
          <w:tab w:val="left" w:pos="851"/>
          <w:tab w:val="left" w:pos="2835"/>
        </w:tabs>
        <w:spacing w:line="276" w:lineRule="auto"/>
      </w:pPr>
      <w:r>
        <w:t>Fig.2.28()</w:t>
      </w:r>
    </w:p>
    <w:p w:rsidR="00083547" w:rsidRDefault="00083547" w:rsidP="00083547">
      <w:pPr>
        <w:pStyle w:val="ListParagraph"/>
        <w:numPr>
          <w:ilvl w:val="1"/>
          <w:numId w:val="10"/>
        </w:numPr>
        <w:tabs>
          <w:tab w:val="left" w:pos="851"/>
          <w:tab w:val="left" w:pos="2835"/>
        </w:tabs>
        <w:spacing w:line="276" w:lineRule="auto"/>
      </w:pPr>
      <w:r>
        <w:t>Convex hulls: Fig.2.35()</w:t>
      </w:r>
    </w:p>
    <w:p w:rsidR="00083547" w:rsidRDefault="00083547" w:rsidP="00083547">
      <w:pPr>
        <w:pStyle w:val="ListParagraph"/>
        <w:numPr>
          <w:ilvl w:val="1"/>
          <w:numId w:val="10"/>
        </w:numPr>
        <w:tabs>
          <w:tab w:val="left" w:pos="851"/>
          <w:tab w:val="left" w:pos="2835"/>
        </w:tabs>
        <w:spacing w:line="276" w:lineRule="auto"/>
      </w:pPr>
      <w:r>
        <w:t>Alpha bags: Fig.2.38()</w:t>
      </w:r>
    </w:p>
    <w:p w:rsidR="00083547" w:rsidRDefault="00083547" w:rsidP="00083547">
      <w:pPr>
        <w:pStyle w:val="ListParagraph"/>
        <w:numPr>
          <w:ilvl w:val="1"/>
          <w:numId w:val="10"/>
        </w:numPr>
        <w:tabs>
          <w:tab w:val="left" w:pos="851"/>
          <w:tab w:val="left" w:pos="2835"/>
        </w:tabs>
        <w:spacing w:line="276" w:lineRule="auto"/>
      </w:pPr>
      <w:r>
        <w:t>Bivariate density plots: Fig.2.40()</w:t>
      </w:r>
    </w:p>
    <w:p w:rsidR="00083547" w:rsidRPr="00083547" w:rsidRDefault="00083547" w:rsidP="00083547">
      <w:pPr>
        <w:pStyle w:val="ListParagraph"/>
        <w:tabs>
          <w:tab w:val="left" w:pos="851"/>
          <w:tab w:val="left" w:pos="2835"/>
        </w:tabs>
        <w:spacing w:line="276" w:lineRule="auto"/>
        <w:ind w:left="1440"/>
      </w:pPr>
    </w:p>
    <w:p w:rsidR="00ED15C7" w:rsidRPr="00E748D0" w:rsidRDefault="00083547" w:rsidP="00E748D0">
      <w:p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 w:rsidRPr="00E748D0">
        <w:rPr>
          <w:b/>
          <w:i/>
          <w:szCs w:val="24"/>
          <w:lang w:val="en-ZA"/>
        </w:rPr>
        <w:t>The</w:t>
      </w:r>
      <w:r w:rsidR="00B472DD" w:rsidRPr="00E748D0">
        <w:rPr>
          <w:b/>
          <w:i/>
          <w:szCs w:val="24"/>
          <w:lang w:val="en-ZA"/>
        </w:rPr>
        <w:t xml:space="preserve"> R package UBbipl</w:t>
      </w:r>
    </w:p>
    <w:p w:rsidR="00E748D0" w:rsidRDefault="00E748D0" w:rsidP="00E748D0">
      <w:pPr>
        <w:pStyle w:val="ListParagraph"/>
        <w:numPr>
          <w:ilvl w:val="0"/>
          <w:numId w:val="12"/>
        </w:numPr>
        <w:tabs>
          <w:tab w:val="left" w:pos="851"/>
          <w:tab w:val="left" w:pos="2835"/>
        </w:tabs>
        <w:spacing w:line="276" w:lineRule="auto"/>
      </w:pPr>
      <w:r>
        <w:t>Main functions</w:t>
      </w:r>
    </w:p>
    <w:p w:rsidR="00E748D0" w:rsidRDefault="00E748D0" w:rsidP="00E748D0">
      <w:pPr>
        <w:pStyle w:val="ListParagraph"/>
        <w:numPr>
          <w:ilvl w:val="0"/>
          <w:numId w:val="12"/>
        </w:numPr>
        <w:tabs>
          <w:tab w:val="left" w:pos="851"/>
          <w:tab w:val="left" w:pos="2835"/>
        </w:tabs>
        <w:spacing w:line="276" w:lineRule="auto"/>
      </w:pPr>
      <w:r>
        <w:t>Functions called by main functions</w:t>
      </w:r>
    </w:p>
    <w:p w:rsidR="00E748D0" w:rsidRDefault="00E748D0" w:rsidP="00E748D0">
      <w:pPr>
        <w:pStyle w:val="ListParagraph"/>
        <w:numPr>
          <w:ilvl w:val="0"/>
          <w:numId w:val="12"/>
        </w:numPr>
        <w:tabs>
          <w:tab w:val="left" w:pos="851"/>
          <w:tab w:val="left" w:pos="2835"/>
        </w:tabs>
        <w:spacing w:line="276" w:lineRule="auto"/>
      </w:pPr>
      <w:r>
        <w:t>Utility functions</w:t>
      </w:r>
    </w:p>
    <w:p w:rsidR="00E748D0" w:rsidRDefault="00E748D0" w:rsidP="00E748D0">
      <w:pPr>
        <w:pStyle w:val="ListParagraph"/>
        <w:numPr>
          <w:ilvl w:val="0"/>
          <w:numId w:val="12"/>
        </w:numPr>
        <w:tabs>
          <w:tab w:val="left" w:pos="851"/>
          <w:tab w:val="left" w:pos="2835"/>
        </w:tabs>
        <w:spacing w:line="276" w:lineRule="auto"/>
      </w:pPr>
      <w:r>
        <w:t>Help files</w:t>
      </w:r>
    </w:p>
    <w:p w:rsidR="00E748D0" w:rsidRPr="00E748D0" w:rsidRDefault="00E748D0" w:rsidP="00E748D0">
      <w:pPr>
        <w:pStyle w:val="ListParagraph"/>
        <w:numPr>
          <w:ilvl w:val="0"/>
          <w:numId w:val="12"/>
        </w:numPr>
        <w:tabs>
          <w:tab w:val="left" w:pos="851"/>
          <w:tab w:val="left" w:pos="2835"/>
        </w:tabs>
        <w:spacing w:line="276" w:lineRule="auto"/>
      </w:pPr>
      <w:r>
        <w:t>Data sets</w:t>
      </w:r>
    </w:p>
    <w:sectPr w:rsidR="00E748D0" w:rsidRPr="00E748D0" w:rsidSect="00C0735D">
      <w:pgSz w:w="11907" w:h="16840" w:code="9"/>
      <w:pgMar w:top="1418" w:right="1134" w:bottom="851" w:left="1134" w:header="851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D13"/>
    <w:multiLevelType w:val="hybridMultilevel"/>
    <w:tmpl w:val="6F20B3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E3D8A"/>
    <w:multiLevelType w:val="hybridMultilevel"/>
    <w:tmpl w:val="51F4895A"/>
    <w:lvl w:ilvl="0" w:tplc="1C0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">
    <w:nsid w:val="5881131B"/>
    <w:multiLevelType w:val="hybridMultilevel"/>
    <w:tmpl w:val="6B10E43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3B7776"/>
    <w:multiLevelType w:val="hybridMultilevel"/>
    <w:tmpl w:val="61C672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42F02E5"/>
    <w:multiLevelType w:val="hybridMultilevel"/>
    <w:tmpl w:val="78C808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5"/>
  </w:num>
  <w:num w:numId="8">
    <w:abstractNumId w:val="5"/>
  </w:num>
  <w:num w:numId="9">
    <w:abstractNumId w:val="1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DD"/>
    <w:rsid w:val="000130B9"/>
    <w:rsid w:val="00044401"/>
    <w:rsid w:val="0005660F"/>
    <w:rsid w:val="00065C16"/>
    <w:rsid w:val="00083547"/>
    <w:rsid w:val="001C38D8"/>
    <w:rsid w:val="0027122C"/>
    <w:rsid w:val="0041337C"/>
    <w:rsid w:val="00431769"/>
    <w:rsid w:val="00475F0C"/>
    <w:rsid w:val="00514306"/>
    <w:rsid w:val="005A5373"/>
    <w:rsid w:val="005D7D5D"/>
    <w:rsid w:val="0060138C"/>
    <w:rsid w:val="006A2082"/>
    <w:rsid w:val="006F1A0F"/>
    <w:rsid w:val="00727CAF"/>
    <w:rsid w:val="00732999"/>
    <w:rsid w:val="007D5688"/>
    <w:rsid w:val="00832B04"/>
    <w:rsid w:val="00854AA7"/>
    <w:rsid w:val="008753AD"/>
    <w:rsid w:val="00885324"/>
    <w:rsid w:val="008E5D58"/>
    <w:rsid w:val="008E7F2B"/>
    <w:rsid w:val="00941389"/>
    <w:rsid w:val="00972F72"/>
    <w:rsid w:val="00994105"/>
    <w:rsid w:val="009F376B"/>
    <w:rsid w:val="00A27EFF"/>
    <w:rsid w:val="00A517C8"/>
    <w:rsid w:val="00A84439"/>
    <w:rsid w:val="00A9250A"/>
    <w:rsid w:val="00A97323"/>
    <w:rsid w:val="00AC14DC"/>
    <w:rsid w:val="00AD08E2"/>
    <w:rsid w:val="00B055BA"/>
    <w:rsid w:val="00B17994"/>
    <w:rsid w:val="00B472DD"/>
    <w:rsid w:val="00BA796F"/>
    <w:rsid w:val="00BF0C11"/>
    <w:rsid w:val="00C0735D"/>
    <w:rsid w:val="00CE339F"/>
    <w:rsid w:val="00D0373B"/>
    <w:rsid w:val="00D63F52"/>
    <w:rsid w:val="00E33E71"/>
    <w:rsid w:val="00E35F01"/>
    <w:rsid w:val="00E748D0"/>
    <w:rsid w:val="00E90047"/>
    <w:rsid w:val="00EB5DAE"/>
    <w:rsid w:val="00E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D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72D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7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72DD"/>
    <w:rPr>
      <w:rFonts w:ascii="Tahoma" w:hAnsi="Tahoma" w:cs="Tahoma"/>
      <w:sz w:val="16"/>
      <w:szCs w:val="16"/>
    </w:rPr>
  </w:style>
  <w:style w:type="paragraph" w:customStyle="1" w:styleId="FigureCaption">
    <w:name w:val="Figure Caption"/>
    <w:basedOn w:val="Caption"/>
    <w:next w:val="Normal"/>
    <w:autoRedefine/>
    <w:rsid w:val="00B472DD"/>
    <w:pPr>
      <w:tabs>
        <w:tab w:val="left" w:pos="567"/>
        <w:tab w:val="right" w:pos="9600"/>
      </w:tabs>
      <w:spacing w:before="60" w:after="240"/>
      <w:ind w:left="1106" w:hanging="1106"/>
    </w:pPr>
    <w:rPr>
      <w:b w:val="0"/>
      <w:color w:val="auto"/>
      <w:sz w:val="20"/>
      <w:szCs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472D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Figure">
    <w:name w:val="Figure"/>
    <w:basedOn w:val="Normal"/>
    <w:next w:val="Normal"/>
    <w:autoRedefine/>
    <w:rsid w:val="005A5373"/>
    <w:pPr>
      <w:tabs>
        <w:tab w:val="left" w:pos="567"/>
        <w:tab w:val="right" w:pos="9600"/>
      </w:tabs>
      <w:spacing w:before="360"/>
    </w:pPr>
    <w:rPr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D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72D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7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72DD"/>
    <w:rPr>
      <w:rFonts w:ascii="Tahoma" w:hAnsi="Tahoma" w:cs="Tahoma"/>
      <w:sz w:val="16"/>
      <w:szCs w:val="16"/>
    </w:rPr>
  </w:style>
  <w:style w:type="paragraph" w:customStyle="1" w:styleId="FigureCaption">
    <w:name w:val="Figure Caption"/>
    <w:basedOn w:val="Caption"/>
    <w:next w:val="Normal"/>
    <w:autoRedefine/>
    <w:rsid w:val="00B472DD"/>
    <w:pPr>
      <w:tabs>
        <w:tab w:val="left" w:pos="567"/>
        <w:tab w:val="right" w:pos="9600"/>
      </w:tabs>
      <w:spacing w:before="60" w:after="240"/>
      <w:ind w:left="1106" w:hanging="1106"/>
    </w:pPr>
    <w:rPr>
      <w:b w:val="0"/>
      <w:color w:val="auto"/>
      <w:sz w:val="20"/>
      <w:szCs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472D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Figure">
    <w:name w:val="Figure"/>
    <w:basedOn w:val="Normal"/>
    <w:next w:val="Normal"/>
    <w:autoRedefine/>
    <w:rsid w:val="005A5373"/>
    <w:pPr>
      <w:tabs>
        <w:tab w:val="left" w:pos="567"/>
        <w:tab w:val="right" w:pos="9600"/>
      </w:tabs>
      <w:spacing w:before="360"/>
    </w:pPr>
    <w:rPr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4</cp:revision>
  <dcterms:created xsi:type="dcterms:W3CDTF">2012-04-23T19:04:00Z</dcterms:created>
  <dcterms:modified xsi:type="dcterms:W3CDTF">2012-04-24T06:10:00Z</dcterms:modified>
</cp:coreProperties>
</file>